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4F" w:rsidRPr="00F43323" w:rsidRDefault="00964894" w:rsidP="00964894">
      <w:pPr>
        <w:pStyle w:val="Default"/>
      </w:pPr>
      <w:r>
        <w:t xml:space="preserve">                                                                                </w:t>
      </w:r>
      <w:r w:rsidR="005C0F4F" w:rsidRPr="00F43323">
        <w:rPr>
          <w:b/>
          <w:bCs/>
        </w:rPr>
        <w:t xml:space="preserve">УТВЕРЖДАЮ </w:t>
      </w:r>
    </w:p>
    <w:p w:rsidR="005C0F4F" w:rsidRPr="00F43323" w:rsidRDefault="00964894" w:rsidP="00964894">
      <w:pPr>
        <w:pStyle w:val="Default"/>
      </w:pPr>
      <w:r>
        <w:t xml:space="preserve">                                                                                </w:t>
      </w:r>
      <w:r w:rsidR="00F43323" w:rsidRPr="00F43323">
        <w:t>Д</w:t>
      </w:r>
      <w:r w:rsidR="005C0F4F" w:rsidRPr="00F43323">
        <w:t xml:space="preserve">иректор </w:t>
      </w:r>
      <w:r w:rsidR="00F43323" w:rsidRPr="00F43323">
        <w:t>МОУ</w:t>
      </w:r>
      <w:r w:rsidR="005C0F4F" w:rsidRPr="00F43323">
        <w:t xml:space="preserve"> </w:t>
      </w:r>
      <w:proofErr w:type="spellStart"/>
      <w:r>
        <w:t>Мордвиновской</w:t>
      </w:r>
      <w:proofErr w:type="spellEnd"/>
      <w:r>
        <w:t xml:space="preserve"> СШ ЯМР</w:t>
      </w:r>
      <w:r w:rsidR="005C0F4F" w:rsidRPr="00F43323">
        <w:t xml:space="preserve">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964894">
        <w:t>О.В. Сахарова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964894">
        <w:t>_____</w:t>
      </w:r>
      <w:r w:rsidRPr="00F43323">
        <w:t xml:space="preserve">» </w:t>
      </w:r>
      <w:r w:rsidR="00964894">
        <w:t>___________</w:t>
      </w:r>
      <w:r w:rsidRPr="00F43323">
        <w:t>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964894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964894">
        <w:rPr>
          <w:b/>
          <w:bCs/>
          <w:sz w:val="32"/>
          <w:szCs w:val="32"/>
        </w:rPr>
        <w:t>Мордвиновская</w:t>
      </w:r>
      <w:proofErr w:type="spellEnd"/>
      <w:r w:rsidR="00964894">
        <w:rPr>
          <w:b/>
          <w:bCs/>
          <w:sz w:val="32"/>
          <w:szCs w:val="32"/>
        </w:rPr>
        <w:t xml:space="preserve"> средняя школа</w:t>
      </w:r>
      <w:r>
        <w:rPr>
          <w:b/>
          <w:bCs/>
          <w:sz w:val="32"/>
          <w:szCs w:val="32"/>
        </w:rPr>
        <w:t>»</w:t>
      </w:r>
      <w:r w:rsidR="00964894">
        <w:rPr>
          <w:b/>
          <w:bCs/>
          <w:sz w:val="32"/>
          <w:szCs w:val="32"/>
        </w:rPr>
        <w:t xml:space="preserve"> </w:t>
      </w:r>
    </w:p>
    <w:p w:rsidR="00F43323" w:rsidRDefault="00964894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  <w:r w:rsidR="00F43323">
        <w:rPr>
          <w:b/>
          <w:bCs/>
          <w:sz w:val="32"/>
          <w:szCs w:val="32"/>
        </w:rPr>
        <w:t xml:space="preserve">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964894" w:rsidP="005C0F4F">
      <w:pPr>
        <w:pStyle w:val="Default"/>
        <w:jc w:val="center"/>
        <w:rPr>
          <w:rFonts w:ascii="Arial" w:hAnsi="Arial" w:cs="Arial"/>
        </w:rPr>
      </w:pPr>
      <w:proofErr w:type="spellStart"/>
      <w:r>
        <w:t>Мордвиново</w:t>
      </w:r>
      <w:proofErr w:type="spellEnd"/>
      <w:r w:rsidR="005C0F4F" w:rsidRPr="00F43323">
        <w:t>, 201</w:t>
      </w:r>
      <w:r w:rsidR="00F43323" w:rsidRPr="00F43323">
        <w:t>7</w:t>
      </w:r>
      <w:r w:rsidR="005C0F4F"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proofErr w:type="spellStart"/>
      <w:r w:rsidR="00964894">
        <w:rPr>
          <w:color w:val="auto"/>
        </w:rPr>
        <w:t>Мордвиновская</w:t>
      </w:r>
      <w:proofErr w:type="spellEnd"/>
      <w:r w:rsidR="00964894">
        <w:rPr>
          <w:color w:val="auto"/>
        </w:rPr>
        <w:t xml:space="preserve"> средняя школа</w:t>
      </w:r>
      <w:r w:rsidR="00A43CD0" w:rsidRPr="00A43CD0">
        <w:rPr>
          <w:color w:val="auto"/>
        </w:rPr>
        <w:t>»</w:t>
      </w:r>
      <w:r w:rsidR="00964894">
        <w:rPr>
          <w:color w:val="auto"/>
        </w:rPr>
        <w:t xml:space="preserve"> Ярославского муниципального района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 xml:space="preserve">– любая информация, относящаяся к прямо или косвенно </w:t>
      </w:r>
      <w:proofErr w:type="gramStart"/>
      <w:r w:rsidRPr="00F43323">
        <w:rPr>
          <w:color w:val="auto"/>
        </w:rPr>
        <w:t>определенному</w:t>
      </w:r>
      <w:proofErr w:type="gramEnd"/>
      <w:r w:rsidRPr="00F43323">
        <w:rPr>
          <w:color w:val="auto"/>
        </w:rPr>
        <w:t xml:space="preserve">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bookmarkStart w:id="0" w:name="_GoBack"/>
      <w:bookmarkEnd w:id="0"/>
      <w:r w:rsidR="00964894" w:rsidRPr="00F43323">
        <w:rPr>
          <w:color w:val="auto"/>
        </w:rPr>
        <w:t>поручителем,</w:t>
      </w:r>
      <w:r w:rsidRPr="00F43323">
        <w:rPr>
          <w:color w:val="auto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F"/>
    <w:rsid w:val="00196C64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964894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A3F6"/>
  <w15:docId w15:val="{11B2B60B-01D1-492F-A354-39A03AD2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2380</Words>
  <Characters>13567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2018-05-04T06:27:00Z</dcterms:created>
  <dcterms:modified xsi:type="dcterms:W3CDTF">2018-05-04T06:27:00Z</dcterms:modified>
</cp:coreProperties>
</file>